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7D" w:rsidRPr="000F0385" w:rsidRDefault="00A06A7D" w:rsidP="00A06A7D">
      <w:pPr>
        <w:rPr>
          <w:rFonts w:cs="Simplified Arabic"/>
          <w:lang w:bidi="ar-EG"/>
        </w:rPr>
      </w:pPr>
      <w:r w:rsidRPr="000F0385">
        <w:rPr>
          <w:rFonts w:cs="Simplified Arabic"/>
          <w:noProof/>
          <w:rtl/>
        </w:rPr>
        <w:drawing>
          <wp:inline distT="0" distB="0" distL="0" distR="0">
            <wp:extent cx="1114425" cy="60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7D" w:rsidRPr="00CF21AF" w:rsidRDefault="00A06A7D" w:rsidP="00A06A7D">
      <w:pPr>
        <w:rPr>
          <w:rFonts w:cs="Simplified Arabic"/>
          <w:b/>
          <w:bCs/>
          <w:sz w:val="24"/>
          <w:szCs w:val="24"/>
          <w:rtl/>
          <w:lang w:bidi="ar-EG"/>
        </w:rPr>
      </w:pPr>
      <w:r w:rsidRPr="00CF21AF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كلية التربية</w:t>
      </w:r>
    </w:p>
    <w:p w:rsidR="00A06A7D" w:rsidRPr="00CF21AF" w:rsidRDefault="00A06A7D" w:rsidP="00A06A7D">
      <w:pPr>
        <w:rPr>
          <w:rFonts w:cs="Simplified Arabic"/>
          <w:b/>
          <w:bCs/>
          <w:rtl/>
          <w:lang w:bidi="ar-EG"/>
        </w:rPr>
      </w:pPr>
      <w:r w:rsidRPr="00CF21AF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قسم الصحة النفسية</w:t>
      </w:r>
      <w:r w:rsidRPr="00CF21AF">
        <w:rPr>
          <w:rFonts w:cs="Simplified Arabic" w:hint="cs"/>
          <w:b/>
          <w:bCs/>
          <w:rtl/>
          <w:lang w:bidi="ar-EG"/>
        </w:rPr>
        <w:t xml:space="preserve"> </w:t>
      </w:r>
    </w:p>
    <w:p w:rsidR="00A06A7D" w:rsidRPr="000F0385" w:rsidRDefault="00A06A7D" w:rsidP="00A06A7D">
      <w:pPr>
        <w:rPr>
          <w:rFonts w:cs="Simplified Arabic"/>
          <w:b/>
          <w:bCs/>
          <w:rtl/>
          <w:lang w:bidi="ar-EG"/>
        </w:rPr>
      </w:pPr>
    </w:p>
    <w:p w:rsidR="00A06A7D" w:rsidRPr="000F0385" w:rsidRDefault="00A06A7D" w:rsidP="00A06A7D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السمات ا</w:t>
      </w:r>
      <w:r w:rsidR="00987061">
        <w:rPr>
          <w:rFonts w:cs="Simplified Arabic" w:hint="cs"/>
          <w:b/>
          <w:bCs/>
          <w:sz w:val="28"/>
          <w:szCs w:val="28"/>
          <w:rtl/>
          <w:lang w:bidi="ar-EG"/>
        </w:rPr>
        <w:t>لشخصية والرفاهية الذاتية، الدور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الوسيط للتفاؤل لدى عينة من موظفي الجامعة</w:t>
      </w:r>
    </w:p>
    <w:p w:rsidR="00A06A7D" w:rsidRPr="00A06A7D" w:rsidRDefault="00A06A7D" w:rsidP="00A06A7D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A06A7D" w:rsidRPr="00A06A7D" w:rsidRDefault="00A06A7D" w:rsidP="00A06A7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A06A7D">
        <w:rPr>
          <w:rFonts w:asciiTheme="majorBidi" w:hAnsiTheme="majorBidi" w:cstheme="majorBidi"/>
          <w:sz w:val="28"/>
          <w:szCs w:val="28"/>
        </w:rPr>
        <w:t>Personality Traits and Subjective Well-Being: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6A7D">
        <w:rPr>
          <w:rFonts w:asciiTheme="majorBidi" w:hAnsiTheme="majorBidi" w:cstheme="majorBidi"/>
          <w:sz w:val="28"/>
          <w:szCs w:val="28"/>
        </w:rPr>
        <w:t xml:space="preserve">Moderating Role of </w:t>
      </w:r>
      <w:proofErr w:type="gramStart"/>
      <w:r w:rsidRPr="00A06A7D">
        <w:rPr>
          <w:rFonts w:asciiTheme="majorBidi" w:hAnsiTheme="majorBidi" w:cstheme="majorBidi"/>
          <w:sz w:val="28"/>
          <w:szCs w:val="28"/>
        </w:rPr>
        <w:t>Optimism in University Employees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87061">
        <w:rPr>
          <w:rStyle w:val="FootnoteReference"/>
          <w:rFonts w:asciiTheme="majorBidi" w:hAnsiTheme="majorBidi" w:cstheme="majorBidi"/>
          <w:sz w:val="28"/>
          <w:szCs w:val="28"/>
        </w:rPr>
        <w:footnoteReference w:id="1"/>
      </w:r>
    </w:p>
    <w:p w:rsidR="00A06A7D" w:rsidRPr="00A06A7D" w:rsidRDefault="00A06A7D" w:rsidP="00A06A7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A06A7D" w:rsidRPr="00A06A7D" w:rsidRDefault="00A06A7D" w:rsidP="00A06A7D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06A7D" w:rsidRPr="001B3781" w:rsidRDefault="00A06A7D" w:rsidP="00D72D89">
      <w:pPr>
        <w:tabs>
          <w:tab w:val="left" w:pos="2771"/>
        </w:tabs>
        <w:rPr>
          <w:rFonts w:ascii="Courier New" w:hAnsi="Courier New" w:cs="Simplified Arabic"/>
          <w:b/>
          <w:bCs/>
          <w:sz w:val="28"/>
          <w:szCs w:val="28"/>
          <w:rtl/>
          <w:lang w:bidi="ar-EG"/>
        </w:rPr>
      </w:pPr>
      <w:r w:rsidRPr="000F0385">
        <w:rPr>
          <w:rFonts w:asciiTheme="majorBidi" w:hAnsiTheme="majorBidi" w:cs="Simplified Arabic"/>
          <w:sz w:val="28"/>
          <w:szCs w:val="28"/>
          <w:rtl/>
          <w:lang w:bidi="ar-EG"/>
        </w:rPr>
        <w:tab/>
      </w:r>
      <w:r w:rsidRPr="001B3781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1B3781">
        <w:rPr>
          <w:rFonts w:ascii="Courier New" w:hAnsi="Courier New" w:cs="Simplified Arabic"/>
          <w:b/>
          <w:bCs/>
          <w:sz w:val="28"/>
          <w:szCs w:val="28"/>
          <w:rtl/>
          <w:lang w:bidi="ar-EG"/>
        </w:rPr>
        <w:t>ترجمة</w:t>
      </w:r>
      <w:r w:rsidR="00D72D89">
        <w:rPr>
          <w:rFonts w:ascii="Courier New" w:hAnsi="Courier New" w:cs="Simplified Arabic"/>
          <w:b/>
          <w:bCs/>
          <w:sz w:val="28"/>
          <w:szCs w:val="28"/>
          <w:lang w:bidi="ar-EG"/>
        </w:rPr>
        <w:t>:</w:t>
      </w:r>
      <w:r w:rsidRPr="001B3781">
        <w:rPr>
          <w:rFonts w:ascii="Courier New" w:hAnsi="Courier New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A06A7D" w:rsidRPr="000F0385" w:rsidRDefault="00A06A7D" w:rsidP="00A06A7D">
      <w:pPr>
        <w:tabs>
          <w:tab w:val="left" w:pos="2771"/>
        </w:tabs>
        <w:rPr>
          <w:rFonts w:ascii="Courier New" w:hAnsi="Courier New" w:cs="Simplified Arabic"/>
          <w:b/>
          <w:bCs/>
          <w:sz w:val="28"/>
          <w:szCs w:val="28"/>
          <w:rtl/>
          <w:lang w:bidi="ar-EG"/>
        </w:rPr>
      </w:pPr>
      <w:r w:rsidRPr="000F0385">
        <w:rPr>
          <w:rFonts w:ascii="Courier New" w:hAnsi="Courier New" w:cs="Simplified Arabic" w:hint="cs"/>
          <w:b/>
          <w:bCs/>
          <w:sz w:val="28"/>
          <w:szCs w:val="28"/>
          <w:rtl/>
          <w:lang w:bidi="ar-EG"/>
        </w:rPr>
        <w:t xml:space="preserve">  </w:t>
      </w:r>
    </w:p>
    <w:p w:rsidR="00A06A7D" w:rsidRPr="000F0385" w:rsidRDefault="00A06A7D" w:rsidP="00A06A7D">
      <w:pPr>
        <w:tabs>
          <w:tab w:val="left" w:pos="2771"/>
        </w:tabs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 w:rsidRPr="000F0385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 xml:space="preserve">  حازم شوقي محمد محمد </w:t>
      </w:r>
      <w:r w:rsidRPr="000F0385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 xml:space="preserve">الطنطاوي </w:t>
      </w:r>
    </w:p>
    <w:p w:rsidR="00A06A7D" w:rsidRPr="000F0385" w:rsidRDefault="00A06A7D" w:rsidP="00A06A7D">
      <w:pPr>
        <w:tabs>
          <w:tab w:val="left" w:pos="2771"/>
        </w:tabs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0F0385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    </w:t>
      </w:r>
    </w:p>
    <w:p w:rsidR="00987061" w:rsidRDefault="00A06A7D" w:rsidP="00D72D89">
      <w:pPr>
        <w:tabs>
          <w:tab w:val="left" w:pos="3506"/>
        </w:tabs>
        <w:rPr>
          <w:rFonts w:ascii="Arial" w:eastAsia="Arial Unicode MS" w:hAnsi="Arial" w:cs="Simplified Arabic"/>
          <w:b/>
          <w:bCs/>
          <w:sz w:val="28"/>
          <w:szCs w:val="28"/>
          <w:lang w:bidi="ar-EG"/>
        </w:rPr>
      </w:pPr>
      <w:r w:rsidRPr="000F0385">
        <w:rPr>
          <w:rFonts w:asciiTheme="majorBidi" w:hAnsiTheme="majorBidi" w:cs="Simplified Arabic"/>
          <w:sz w:val="28"/>
          <w:szCs w:val="28"/>
          <w:rtl/>
          <w:lang w:bidi="ar-EG"/>
        </w:rPr>
        <w:tab/>
      </w:r>
    </w:p>
    <w:p w:rsidR="00D72D89" w:rsidRDefault="00D72D89" w:rsidP="00D72D89">
      <w:pPr>
        <w:tabs>
          <w:tab w:val="left" w:pos="3506"/>
        </w:tabs>
        <w:rPr>
          <w:rFonts w:ascii="Arial" w:eastAsia="Arial Unicode MS" w:hAnsi="Arial" w:cs="Simplified Arabic"/>
          <w:b/>
          <w:bCs/>
          <w:sz w:val="28"/>
          <w:szCs w:val="28"/>
          <w:lang w:bidi="ar-EG"/>
        </w:rPr>
      </w:pPr>
    </w:p>
    <w:p w:rsidR="00D72D89" w:rsidRDefault="00D72D89" w:rsidP="00D72D89">
      <w:pPr>
        <w:tabs>
          <w:tab w:val="left" w:pos="3506"/>
        </w:tabs>
        <w:rPr>
          <w:rFonts w:ascii="Arial" w:eastAsia="Arial Unicode MS" w:hAnsi="Arial" w:cs="Simplified Arabic"/>
          <w:b/>
          <w:bCs/>
          <w:sz w:val="28"/>
          <w:szCs w:val="28"/>
          <w:lang w:bidi="ar-EG"/>
        </w:rPr>
      </w:pPr>
    </w:p>
    <w:p w:rsidR="00D72D89" w:rsidRDefault="00D72D89" w:rsidP="00D72D89">
      <w:pPr>
        <w:tabs>
          <w:tab w:val="left" w:pos="3506"/>
        </w:tabs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</w:p>
    <w:p w:rsidR="00987061" w:rsidRDefault="00987061" w:rsidP="00A06A7D">
      <w:pPr>
        <w:tabs>
          <w:tab w:val="left" w:pos="3041"/>
        </w:tabs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</w:p>
    <w:p w:rsidR="00987061" w:rsidRDefault="00987061" w:rsidP="00A06A7D">
      <w:pPr>
        <w:tabs>
          <w:tab w:val="left" w:pos="3041"/>
        </w:tabs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</w:p>
    <w:p w:rsidR="00987061" w:rsidRDefault="000F58F3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bookmarkStart w:id="0" w:name="_GoBack"/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lastRenderedPageBreak/>
        <w:t>مشكلة الدراسة:</w:t>
      </w:r>
    </w:p>
    <w:p w:rsidR="000F58F3" w:rsidRDefault="000F58F3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>انطلقت الدراسة من مشكلة رئيسة تمثلت في انخفاض مستوى الشعور بالرضا عن الحياة، وارتفاع مستوى الضغوط النفسية</w:t>
      </w:r>
      <w:r w:rsid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التي نتج عنها ارتفاع </w:t>
      </w:r>
      <w:r w:rsidR="006C71FA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مستوى </w:t>
      </w:r>
      <w:r w:rsid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القلق </w:t>
      </w:r>
      <w:r w:rsidRP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لدى موظفي جامعة كومساتس بباكستان، مما أثر على الرفاهية الذاتية (جودة الحياة الذاتية)، </w:t>
      </w:r>
      <w:r w:rsidR="00E5087E" w:rsidRP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وأشارت بعض الدراسات إلى أن السمات الشخصية من أهم العوامل التي تؤثر على رفاهية الأفراد، ولذا فإن الباحث يتناول سمتين مهمتين من سمات الشخصية وهما العصابية والضمير، ومعرفة أثرهما على </w:t>
      </w:r>
      <w:r w:rsid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كل من القلق والرضا عن الحياة، </w:t>
      </w:r>
      <w:r w:rsidR="00E5087E" w:rsidRP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>وانطلاقا من المداخل والتوجهات النظرية الحديثة التي بدأت تركز على أهمية بعض العوامل الإيجابية في تحقيق مستوى عال من الشعور بجودة الحياة،</w:t>
      </w:r>
      <w:r w:rsidR="00E5087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فإن الباحث يتناول التفاؤل كمتغير وسيط للعلاقة بين السمات الشخصية (العصابية والضمير)، والرفاهية الذاتية (القلق، والرضا عن الحياة).</w:t>
      </w:r>
    </w:p>
    <w:p w:rsidR="00E5087E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 w:rsidRPr="00E5087E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>أهداف الدراسة:</w:t>
      </w:r>
    </w:p>
    <w:p w:rsidR="00E5087E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>هدفت الدراسة إلى ما يأتي:</w:t>
      </w:r>
    </w:p>
    <w:p w:rsidR="00E5087E" w:rsidRPr="009D00E2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ـ معرفة طبيعة العلاقة الارتباطية بين العصابية</w:t>
      </w:r>
      <w:r w:rsidR="004A3F98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كأحد سمات الشخصية</w:t>
      </w: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والرضا عن الحياة</w:t>
      </w:r>
      <w:r w:rsidR="004A3F98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كأحد العوامل المؤثرة في الرفاهية الذاتية.</w:t>
      </w:r>
    </w:p>
    <w:p w:rsidR="00E5087E" w:rsidRPr="009D00E2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ـ معرفة طبيعة العلاقة الارتباطية بين العصابية</w:t>
      </w:r>
      <w:r w:rsidR="004A3F98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كأحد سمات الشخصية</w:t>
      </w: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والقلق</w:t>
      </w:r>
      <w:r w:rsidR="004A3F98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كأحد العناصر المؤثرة في الرفاهية الذاتية</w:t>
      </w: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.</w:t>
      </w:r>
    </w:p>
    <w:p w:rsidR="00E5087E" w:rsidRPr="009D00E2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ـ معرفة طبيعة العلاقة الارتباطية بين الضمير </w:t>
      </w:r>
      <w:r w:rsidR="004A3F98">
        <w:rPr>
          <w:rFonts w:asciiTheme="majorBidi" w:hAnsiTheme="majorBidi" w:cs="Simplified Arabic" w:hint="cs"/>
          <w:sz w:val="28"/>
          <w:szCs w:val="28"/>
          <w:rtl/>
          <w:lang w:bidi="ar-EG"/>
        </w:rPr>
        <w:t>كأحد سمات الشخصية</w:t>
      </w:r>
      <w:r w:rsidR="004A3F98"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والقلق</w:t>
      </w:r>
      <w:r w:rsidR="004A3F98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كأحد العناصر المؤثرة في الرفاهية الذاتية، </w:t>
      </w: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وبين الضمير والرضا عن الحياة.</w:t>
      </w:r>
    </w:p>
    <w:p w:rsidR="00E5087E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ـ التحقق من كون التفاؤل يتوسط العلاقة بين كل من: العصابية، والقلق، والعصابية والرضا عن الحياة</w:t>
      </w:r>
      <w:r w:rsidR="009D00E2"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، والضمير والقلق، والضمير والرضا عن الحياة.</w:t>
      </w:r>
    </w:p>
    <w:p w:rsidR="009D00E2" w:rsidRPr="006C71FA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 w:rsidRPr="006C71FA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>تساؤلات الدراسة:</w:t>
      </w:r>
    </w:p>
    <w:p w:rsidR="009D00E2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1ـ هل توجد علاقة ارتباطية بين العصابية والقلق؟</w:t>
      </w:r>
    </w:p>
    <w:p w:rsidR="009D00E2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lastRenderedPageBreak/>
        <w:t>2ـ هل توجد علاقة ارتباطية بين العصابية والرضا عن الحياة؟</w:t>
      </w:r>
    </w:p>
    <w:p w:rsidR="009D00E2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3ـ هل توجد علاقة ارتباطية بين الضمير والرضا عن الحياة؟</w:t>
      </w:r>
    </w:p>
    <w:p w:rsidR="007A70FD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4ـ هل توجد عل</w:t>
      </w:r>
      <w:r w:rsid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اقة ارتباطية بين الضمير والقلق.</w:t>
      </w:r>
    </w:p>
    <w:p w:rsidR="009D00E2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5ـ هل </w:t>
      </w:r>
      <w:r w:rsidRPr="009D00E2">
        <w:rPr>
          <w:rFonts w:asciiTheme="majorBidi" w:hAnsiTheme="majorBidi" w:cs="Simplified Arabic" w:hint="cs"/>
          <w:sz w:val="28"/>
          <w:szCs w:val="28"/>
          <w:rtl/>
          <w:lang w:bidi="ar-EG"/>
        </w:rPr>
        <w:t>التفاؤل يتوسط العلاقة بين كل من: العصابية، والقلق، والعصابية والرضا عن الحياة، والضمير والقلق، والضمير والرضا عن الحياة.</w:t>
      </w:r>
    </w:p>
    <w:p w:rsidR="009D00E2" w:rsidRPr="006C71FA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6C71FA">
        <w:rPr>
          <w:rFonts w:asciiTheme="majorBidi" w:hAnsiTheme="majorBidi" w:cs="Simplified Arabic" w:hint="cs"/>
          <w:sz w:val="28"/>
          <w:szCs w:val="28"/>
          <w:rtl/>
          <w:lang w:bidi="ar-EG"/>
        </w:rPr>
        <w:t>فروض الدراسة:</w:t>
      </w:r>
    </w:p>
    <w:p w:rsidR="009D00E2" w:rsidRP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1ـ توجد علاقة ارتباطية موجبة بين العصابية والقلق.</w:t>
      </w:r>
    </w:p>
    <w:p w:rsidR="007A70FD" w:rsidRP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2ـ توجد علاقة ارتباطية سالبة بين العصابية والرضا عن الحياة.</w:t>
      </w:r>
    </w:p>
    <w:p w:rsidR="007A70FD" w:rsidRP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3ـ توجد علاقة ارتباطية موجبة بين الضمير والرضا عن الحياة.</w:t>
      </w:r>
    </w:p>
    <w:p w:rsidR="007A70FD" w:rsidRP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4ـ توجد علاقة ارتباطية سالبة بين الضمير والقلق.</w:t>
      </w:r>
    </w:p>
    <w:p w:rsid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5ـ التفاؤل يتوسط العلاقة بين كل من: العصابية، والقلق، والعصابية والرضا عن الحياة، والضمير والقلق، والضمير والرضا عن الحياة.</w:t>
      </w:r>
    </w:p>
    <w:p w:rsid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>عينة الدراسة:</w:t>
      </w:r>
    </w:p>
    <w:p w:rsid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تكونت عينة الدراسة من (251) فردًا من البالغين (148 ذكور، 99 إناث)، من موظفي جامعة كومساتس بلاهور بباكستان، تتراوح أعمارهم من (25ـ 56) عامًا</w:t>
      </w: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، بمتوسط عمري (29.83 عامًا)، من بينهم مشاركون بالتدريس، وإداريون، ومتخصصون في مجال البحوث.</w:t>
      </w:r>
    </w:p>
    <w:p w:rsidR="007A70FD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>أدوات الدراسة:</w:t>
      </w:r>
    </w:p>
    <w:p w:rsidR="006C71FA" w:rsidRPr="006E5759" w:rsidRDefault="006C71FA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4C35B9">
        <w:rPr>
          <w:rFonts w:asciiTheme="majorBidi" w:hAnsiTheme="majorBidi" w:cs="Simplified Arabic" w:hint="cs"/>
          <w:sz w:val="28"/>
          <w:szCs w:val="28"/>
          <w:rtl/>
          <w:lang w:bidi="ar-EG"/>
        </w:rPr>
        <w:t>1ـ استبيان المتغيرات الديموجرافية: ويهدف إلى جمع بيانات عن الدخل الشهري، وعنوان</w:t>
      </w: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t>المنزل، ورقم الهاتف، والتعليم، والسن، والجنس، والتوقيع.</w:t>
      </w:r>
    </w:p>
    <w:p w:rsidR="006C71FA" w:rsidRPr="006E5759" w:rsidRDefault="006C71FA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2ـ مقياس العوامل الخمسة للشخصية لليفيسلي وآخرون (2002)، ويتناول خمس سمات للشخصية هي: العصابية، والانفتاح، والانبساط، والضمير، والمقبولية، واختار الباحث فقط </w:t>
      </w:r>
      <w:r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lastRenderedPageBreak/>
        <w:t>العصابية، والضمير كأحد أهم السمات الشخصية، ويتضمن هذا المقياس خمسة استجابات تتراوح من درجة واحدة (لا أوافق بشدة) إلى خمس درجات (أوافق بشدة).</w:t>
      </w:r>
    </w:p>
    <w:p w:rsidR="00533E82" w:rsidRDefault="00533E8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t>3ـ مقياس التوجه نحو الحياة</w:t>
      </w:r>
      <w:r w:rsidR="006E5759"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لشاير وآخرون 1994</w:t>
      </w:r>
      <w:r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: ويقيس هذا المقياس التفاؤل والتشاؤم لدى عينة الدراسة </w:t>
      </w:r>
      <w:r w:rsidR="006E5759" w:rsidRPr="006E5759">
        <w:rPr>
          <w:rFonts w:asciiTheme="majorBidi" w:hAnsiTheme="majorBidi" w:cs="Simplified Arabic" w:hint="cs"/>
          <w:sz w:val="28"/>
          <w:szCs w:val="28"/>
          <w:rtl/>
          <w:lang w:bidi="ar-EG"/>
        </w:rPr>
        <w:t>، ويتكون من عشرين بندا، وأعلى درجة تشير إلى تفاؤل عال، وأقل درجة تشير إلى التشاؤم.</w:t>
      </w:r>
    </w:p>
    <w:p w:rsidR="006E5759" w:rsidRDefault="006E5759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4ـ اختبار قائمة الجرد المختصرة لديروجيتس 1993: وهي عبارة عن إحدى الاختبارات السيكولوجية المستخدمة في الكشف عن شخصية الأفراد، ويتضمن أسئلة عن مواقف وسلوكيات لتقييم شخصية الفرد، والمشكلات السلوكية التي تواجهه، وويتكون من تسعة أبعاد: الجسدنة (الجمع بين المرض النفسي والجسدي)، هاجس الإكراه، الحساسية الشديدة، الاكتئاب، القلق، العداء، رهاب القلق، والتفكير في جنون العظمة، العصابية، واختار الباحث منهما القلق والعصابية.</w:t>
      </w:r>
    </w:p>
    <w:p w:rsidR="006E5759" w:rsidRDefault="006E5759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5ـ مقياس الرضا عن الحياة لدينر وآخرون (1985): وهو مقياس يتكون من خمسة بنود مناسب لجميع الأعمار من المراهقين إلى الكبار، وله سبعة بدائل يتراوح من 1 (لا أوافق بشدة) إلى 7 ( أوافق بشدة).</w:t>
      </w:r>
    </w:p>
    <w:p w:rsidR="006E5759" w:rsidRDefault="006E5759" w:rsidP="00D72D89">
      <w:pPr>
        <w:tabs>
          <w:tab w:val="left" w:pos="3041"/>
        </w:tabs>
        <w:jc w:val="lowKashida"/>
        <w:rPr>
          <w:rFonts w:asciiTheme="majorBidi" w:hAnsiTheme="majorBidi" w:cs="Simplified Arabic"/>
          <w:b/>
          <w:bCs/>
          <w:sz w:val="28"/>
          <w:szCs w:val="28"/>
          <w:rtl/>
          <w:lang w:bidi="ar-EG"/>
        </w:rPr>
      </w:pPr>
      <w:r w:rsidRPr="006E5759">
        <w:rPr>
          <w:rFonts w:asciiTheme="majorBidi" w:hAnsiTheme="majorBidi" w:cs="Simplified Arabic" w:hint="cs"/>
          <w:b/>
          <w:bCs/>
          <w:sz w:val="28"/>
          <w:szCs w:val="28"/>
          <w:rtl/>
          <w:lang w:bidi="ar-EG"/>
        </w:rPr>
        <w:t>نتائج الدراسة:</w:t>
      </w:r>
    </w:p>
    <w:p w:rsidR="006E5759" w:rsidRPr="00034D23" w:rsidRDefault="006E5759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034D23">
        <w:rPr>
          <w:rFonts w:asciiTheme="majorBidi" w:hAnsiTheme="majorBidi" w:cs="Simplified Arabic" w:hint="cs"/>
          <w:sz w:val="28"/>
          <w:szCs w:val="28"/>
          <w:rtl/>
          <w:lang w:bidi="ar-EG"/>
        </w:rPr>
        <w:t>بعد تحليل البيانات ومعالجتها بالأساليب الإحصائية المناسبة توصلت الدراسة إلى ما يأتي:</w:t>
      </w:r>
    </w:p>
    <w:p w:rsidR="00034D23" w:rsidRPr="007A70FD" w:rsidRDefault="00034D23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1ـ توجد علاقة ارتباطية موجبة </w:t>
      </w: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دالة إحصائيا بين العصابية والقلق، كلما ارتفع مستوى القلق ارتفعت العصابية والعكس صحيح.</w:t>
      </w:r>
    </w:p>
    <w:p w:rsidR="00034D23" w:rsidRPr="007A70FD" w:rsidRDefault="00034D23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2ـ توجد علاقة ارتباطية سالب</w:t>
      </w: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>ة بين العصابية والرضا عن الحياة، كلما ارتفعت العصابية انخفض مستوى الرضا عن الحياة، والعكس صحيح.</w:t>
      </w:r>
    </w:p>
    <w:p w:rsidR="00034D23" w:rsidRPr="007A70FD" w:rsidRDefault="00034D23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3ـ توجد علاقة ارتباطية مو</w:t>
      </w: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جبة بين الضمير والرضا عن الحياة، كلما ارتفع مستوى الضمير ارتفع الشعور بالرضا عن الحياة والعكس صحيح. </w:t>
      </w:r>
    </w:p>
    <w:p w:rsidR="00034D23" w:rsidRPr="007A70FD" w:rsidRDefault="00034D23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lastRenderedPageBreak/>
        <w:t>4ـ توجد علاقة ارتباطية سالبة بين</w:t>
      </w: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الضمير والقلق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، كلما ارتفع الضمير انخفض مستوى القلق</w:t>
      </w:r>
    </w:p>
    <w:p w:rsidR="00034D23" w:rsidRDefault="00034D23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5ـ التفاؤل يتوسط العلاقة بين كل من: 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(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العصابية، والقلق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)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، 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فكلما ارتفع مستوى التفاؤل انخفض القلق، فتنخفض العصابية، (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والعصابية والرضا عن الحياة،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)، فكلما ارتفع مستوى التفاؤل انخفضت العصابية ونتج عنها ارتفاع في مستوى الشعور بالرضا عن الحياة، (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والضمير والقلق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)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، 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كلما ارتفع مستوى التفاؤل انخفض مستوى القلق فيرتفع الضمير، (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والضمير والرضا عن الحياة</w:t>
      </w:r>
      <w:r w:rsidR="008555AC">
        <w:rPr>
          <w:rFonts w:asciiTheme="majorBidi" w:hAnsiTheme="majorBidi" w:cs="Simplified Arabic" w:hint="cs"/>
          <w:sz w:val="28"/>
          <w:szCs w:val="28"/>
          <w:rtl/>
          <w:lang w:bidi="ar-EG"/>
        </w:rPr>
        <w:t>) كلما ارتفع مستوى التفاؤل ارتفع مستوى</w:t>
      </w:r>
      <w:r w:rsidR="00CF4CFE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الرضا عن الحياة، فيرتفع الضمير</w:t>
      </w:r>
      <w:r w:rsidRPr="007A70FD">
        <w:rPr>
          <w:rFonts w:asciiTheme="majorBidi" w:hAnsiTheme="majorBidi" w:cs="Simplified Arabic" w:hint="cs"/>
          <w:sz w:val="28"/>
          <w:szCs w:val="28"/>
          <w:rtl/>
          <w:lang w:bidi="ar-EG"/>
        </w:rPr>
        <w:t>.</w:t>
      </w:r>
    </w:p>
    <w:p w:rsidR="006E5759" w:rsidRPr="00034D23" w:rsidRDefault="006E5759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p w:rsidR="006E5759" w:rsidRPr="006E5759" w:rsidRDefault="006E5759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p w:rsidR="007A70FD" w:rsidRPr="006E5759" w:rsidRDefault="007A70F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p w:rsidR="009D00E2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p w:rsidR="009D00E2" w:rsidRPr="009D00E2" w:rsidRDefault="009D00E2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p w:rsidR="00E5087E" w:rsidRPr="00E5087E" w:rsidRDefault="00E5087E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p w:rsidR="00A06A7D" w:rsidRDefault="00A06A7D" w:rsidP="00D72D89">
      <w:pPr>
        <w:tabs>
          <w:tab w:val="left" w:pos="3041"/>
        </w:tabs>
        <w:jc w:val="lowKashida"/>
        <w:rPr>
          <w:rFonts w:asciiTheme="majorBidi" w:hAnsiTheme="majorBidi" w:cs="Simplified Arabic"/>
          <w:sz w:val="28"/>
          <w:szCs w:val="28"/>
          <w:rtl/>
          <w:lang w:bidi="ar-EG"/>
        </w:rPr>
      </w:pPr>
    </w:p>
    <w:bookmarkEnd w:id="0"/>
    <w:p w:rsidR="00806AAB" w:rsidRPr="00A06A7D" w:rsidRDefault="00806AAB" w:rsidP="00D72D89">
      <w:pPr>
        <w:jc w:val="lowKashida"/>
        <w:rPr>
          <w:lang w:bidi="ar-EG"/>
        </w:rPr>
      </w:pPr>
    </w:p>
    <w:sectPr w:rsidR="00806AAB" w:rsidRPr="00A06A7D" w:rsidSect="00A70EE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BE" w:rsidRDefault="003F78BE" w:rsidP="00A06A7D">
      <w:pPr>
        <w:spacing w:after="0" w:line="240" w:lineRule="auto"/>
      </w:pPr>
      <w:r>
        <w:separator/>
      </w:r>
    </w:p>
  </w:endnote>
  <w:endnote w:type="continuationSeparator" w:id="0">
    <w:p w:rsidR="003F78BE" w:rsidRDefault="003F78BE" w:rsidP="00A0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420547"/>
      <w:docPartObj>
        <w:docPartGallery w:val="Page Numbers (Bottom of Page)"/>
        <w:docPartUnique/>
      </w:docPartObj>
    </w:sdtPr>
    <w:sdtEndPr/>
    <w:sdtContent>
      <w:p w:rsidR="003D4EF9" w:rsidRDefault="003F7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D8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D4EF9" w:rsidRDefault="003D4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BE" w:rsidRDefault="003F78BE" w:rsidP="00A06A7D">
      <w:pPr>
        <w:spacing w:after="0" w:line="240" w:lineRule="auto"/>
      </w:pPr>
      <w:r>
        <w:separator/>
      </w:r>
    </w:p>
  </w:footnote>
  <w:footnote w:type="continuationSeparator" w:id="0">
    <w:p w:rsidR="003F78BE" w:rsidRDefault="003F78BE" w:rsidP="00A06A7D">
      <w:pPr>
        <w:spacing w:after="0" w:line="240" w:lineRule="auto"/>
      </w:pPr>
      <w:r>
        <w:continuationSeparator/>
      </w:r>
    </w:p>
  </w:footnote>
  <w:footnote w:id="1">
    <w:p w:rsidR="00987061" w:rsidRDefault="0098706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987061">
        <w:rPr>
          <w:rFonts w:asciiTheme="majorBidi" w:hAnsiTheme="majorBidi" w:cstheme="majorBidi"/>
          <w:b/>
          <w:bCs/>
          <w:sz w:val="28"/>
          <w:szCs w:val="28"/>
        </w:rPr>
        <w:t>Jibeen</w:t>
      </w:r>
      <w:proofErr w:type="spellEnd"/>
      <w:proofErr w:type="gramStart"/>
      <w:r w:rsidRPr="00987061">
        <w:rPr>
          <w:rFonts w:asciiTheme="majorBidi" w:hAnsiTheme="majorBidi" w:cstheme="majorBidi"/>
          <w:b/>
          <w:bCs/>
          <w:sz w:val="28"/>
          <w:szCs w:val="28"/>
        </w:rPr>
        <w:t>.(</w:t>
      </w:r>
      <w:proofErr w:type="gramEnd"/>
      <w:r w:rsidRPr="00987061">
        <w:rPr>
          <w:rFonts w:asciiTheme="majorBidi" w:hAnsiTheme="majorBidi" w:cstheme="majorBidi"/>
          <w:b/>
          <w:bCs/>
          <w:sz w:val="28"/>
          <w:szCs w:val="28"/>
        </w:rPr>
        <w:t xml:space="preserve">2013). </w:t>
      </w:r>
      <w:proofErr w:type="spellStart"/>
      <w:r w:rsidRPr="00987061">
        <w:rPr>
          <w:rFonts w:asciiTheme="majorBidi" w:hAnsiTheme="majorBidi" w:cstheme="majorBidi"/>
          <w:b/>
          <w:bCs/>
          <w:sz w:val="28"/>
          <w:szCs w:val="28"/>
        </w:rPr>
        <w:t>Soc</w:t>
      </w:r>
      <w:proofErr w:type="spellEnd"/>
      <w:r w:rsidRPr="00987061">
        <w:rPr>
          <w:rFonts w:asciiTheme="majorBidi" w:hAnsiTheme="majorBidi" w:cstheme="majorBidi"/>
          <w:b/>
          <w:bCs/>
          <w:sz w:val="28"/>
          <w:szCs w:val="28"/>
        </w:rPr>
        <w:t xml:space="preserve"> Indic Res, 1-16.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A7D"/>
    <w:rsid w:val="00034D23"/>
    <w:rsid w:val="000F58F3"/>
    <w:rsid w:val="003D4EF9"/>
    <w:rsid w:val="003F78BE"/>
    <w:rsid w:val="004A3F98"/>
    <w:rsid w:val="004C35B9"/>
    <w:rsid w:val="00533E82"/>
    <w:rsid w:val="006C71FA"/>
    <w:rsid w:val="006E5759"/>
    <w:rsid w:val="007A70FD"/>
    <w:rsid w:val="00806AAB"/>
    <w:rsid w:val="008555AC"/>
    <w:rsid w:val="00987061"/>
    <w:rsid w:val="009D00E2"/>
    <w:rsid w:val="00A06A7D"/>
    <w:rsid w:val="00A70EE2"/>
    <w:rsid w:val="00AE69F7"/>
    <w:rsid w:val="00BF066F"/>
    <w:rsid w:val="00CF4CFE"/>
    <w:rsid w:val="00D72D89"/>
    <w:rsid w:val="00E5087E"/>
    <w:rsid w:val="00F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6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A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4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EF9"/>
  </w:style>
  <w:style w:type="paragraph" w:styleId="Footer">
    <w:name w:val="footer"/>
    <w:basedOn w:val="Normal"/>
    <w:link w:val="FooterChar"/>
    <w:uiPriority w:val="99"/>
    <w:unhideWhenUsed/>
    <w:rsid w:val="003D4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 AQSA Comp )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 MISHO )</dc:creator>
  <cp:keywords/>
  <dc:description/>
  <cp:lastModifiedBy>compu magic</cp:lastModifiedBy>
  <cp:revision>15</cp:revision>
  <dcterms:created xsi:type="dcterms:W3CDTF">2013-11-22T08:06:00Z</dcterms:created>
  <dcterms:modified xsi:type="dcterms:W3CDTF">2022-03-16T09:36:00Z</dcterms:modified>
</cp:coreProperties>
</file>